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применении исковой давности</w:t>
      </w:r>
    </w:p>
    <w:p>
      <w:pPr>
        <w:pStyle w:val="Heading1"/>
        <w:keepNext/>
      </w:pPr>
      <w:r>
        <w:rPr/>
        <w:t>1. Хронология</w:t>
      </w:r>
    </w:p>
    <w:p>
      <w:r>
        <w:rPr/>
        <w:t>Требование относится к [обязательство]. Срок исполнения: [дата]. Истец узнал или должен был узнать о нарушении и надлежащем ответчике [дата, основание]. Иск предъявлен [дата]. Применимый срок: [общий / специальный, норма].</w:t>
      </w:r>
    </w:p>
    <w:p>
      <w:pPr>
        <w:pStyle w:val="Heading1"/>
        <w:keepNext/>
      </w:pPr>
      <w:r>
        <w:rPr/>
        <w:t>2. Проверка течения срока</w:t>
      </w:r>
    </w:p>
    <w:p>
      <w:r>
        <w:rPr/>
        <w:t>Начало и окончание срока: [расчёт]. Обстоятельства приостановления, перерыва, судебной защиты, признания долга: [проверенные сведения]. Претензионный порядок и его влияние на срок: [расчёт]. По периодическим платежам расчёт сделан отдельно по каждому платежу.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35 ГПК РФ; статьи 196, 199, 200, 203, 206 ГК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Применить исковую давность к требованию [точно указать].</w:t>
      </w:r>
    </w:p>
    <w:p>
      <w:r>
        <w:rPr/>
        <w:t>2. Отказать в удовлетворении указанного требования вследствие истечения срока исковой давности.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и документы о сроках исполнения — [количество] л.</w:t>
      </w:r>
    </w:p>
    <w:p>
      <w:r>
        <w:rPr/>
        <w:t>2. Расчёт давности по требованиям — [количество] л.</w:t>
      </w:r>
    </w:p>
    <w:p>
      <w:r>
        <w:rPr/>
        <w:t>3. Переписка и документы о досудебном порядке — [количество] л.</w:t>
      </w:r>
    </w:p>
    <w:p>
      <w:r>
        <w:rPr/>
        <w:t>4. Подтверждение даты предъявления иска — [количество] л.</w:t>
      </w:r>
    </w:p>
    <w:p>
      <w:r>
        <w:rPr/>
        <w:t>5.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Из дат возникновения и предъявления требования следует возможный пропуск срока.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Давность применяется по заявлению стороны, сделанному до вынесения решения.</w:t>
      </w:r>
    </w:p>
    <w:p>
      <w:r>
        <w:rPr/>
        <w:t>4. Проверьте специальные сроки, признание долга и последствия предыдущего обращения в суд; одного сравнения календарных дат недостаточно.</w:t>
      </w:r>
    </w:p>
    <w:p>
      <w:r>
        <w:rPr/>
        <w:t>5. Приостановление срока и последствия судебной защиты требуют проверки статей 202 и 204 ГК РФ наряду с общими правилами; эти периоды нельзя механически включать в календарный расчёт..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35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196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199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200 ГК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203 ГК РФ</w:t>
        </w:r>
      </w:hyperlink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Статья 206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5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6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76602a8eaa07ea6be840dcada31c74e26f1c0600/" TargetMode="External"/><Relationship Id="rId10" Type="http://schemas.openxmlformats.org/officeDocument/2006/relationships/hyperlink" Target="https://www.consultant.ru/document/cons_doc_LAW_5142/2dd3d0a52b1ab6e77f6f0bfeb85d98c14fd738da/" TargetMode="External"/><Relationship Id="rId11" Type="http://schemas.openxmlformats.org/officeDocument/2006/relationships/hyperlink" Target="https://www.consultant.ru/document/cons_doc_LAW_5142/a1d86c517e94d53a1f4e61525db8bdd2dc4969a9/" TargetMode="External"/><Relationship Id="rId12" Type="http://schemas.openxmlformats.org/officeDocument/2006/relationships/hyperlink" Target="https://www.consultant.ru/document/cons_doc_LAW_5142/afdd3ceb216c7598c9cf49ac07f75fdf4f489d6a/" TargetMode="External"/><Relationship Id="rId13" Type="http://schemas.openxmlformats.org/officeDocument/2006/relationships/hyperlink" Target="https://www.consultant.ru/document/cons_doc_LAW_5142/09a78d1d56f99c7bceb043438077750f2a0f7e00/" TargetMode="External"/><Relationship Id="rId14" Type="http://schemas.openxmlformats.org/officeDocument/2006/relationships/hyperlink" Target="https://www.consultant.ru/document/cons_doc_LAW_5142/640997df1a77a76c34383447f86dcd72cf8dd161/" TargetMode="External"/><Relationship Id="rId15" Type="http://schemas.openxmlformats.org/officeDocument/2006/relationships/hyperlink" Target="https://via-jure.ru/document-gpk-limitation.html" TargetMode="Externa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применении исковой давности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