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об исправлении описки или арифметической ошибки</w:t>
      </w:r>
    </w:p>
    <w:p>
      <w:pPr>
        <w:pStyle w:val="Heading1"/>
        <w:keepNext/>
      </w:pPr>
      <w:r>
        <w:rPr/>
        <w:t>1. Ошибка в акте</w:t>
      </w:r>
    </w:p>
    <w:p>
      <w:r>
        <w:rPr/>
        <w:t>В [вид акта] от [дата] по делу № [номер], страница [номер], абзац [номер], указано: «[ошибочный фрагмент]». Правильное указание: «[правильный фрагмент]».</w:t>
      </w:r>
    </w:p>
    <w:p>
      <w:pPr>
        <w:pStyle w:val="Heading1"/>
        <w:keepNext/>
      </w:pPr>
      <w:r>
        <w:rPr/>
        <w:t>2. Характер исправления</w:t>
      </w:r>
    </w:p>
    <w:p>
      <w:r>
        <w:rPr/>
        <w:t>Ошибка подтверждается [документы / расчёт]. Исправление не меняет разрешённое судом требование и содержание принятого решения, а устраняет [описка / арифметическая ошибка].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200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Исправить [описку / арифметическую ошибку] в судебном акте от [дата], указав [точная редакция].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с правильными реквизитами — [количество] л.</w:t>
      </w:r>
    </w:p>
    <w:p>
      <w:r>
        <w:rPr/>
        <w:t>2. Пояснение арифметического расчёта, если применимо — [количество] л.</w:t>
      </w:r>
    </w:p>
    <w:p>
      <w:r>
        <w:rPr/>
        <w:t>3.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В судебном акте неверно указаны реквизиты или допущена очевидная арифметическая ошибка.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Через исправление описки нельзя пересмотреть выводы суда или изменить присуждённое по существу.</w:t>
      </w:r>
    </w:p>
    <w:p>
      <w:r>
        <w:rPr/>
        <w:t>4. Если ошибка содержательная, проверьте порядок обжалования, а не используйте этот шаблон.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200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2d2a65f7e564a5c8f29b80089efcaedc87e17279/" TargetMode="External"/><Relationship Id="rId10" Type="http://schemas.openxmlformats.org/officeDocument/2006/relationships/hyperlink" Target="https://via-jure.ru/document-gpk-clerical-error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исправлении описки или арифметической ошибки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