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хранения имущества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</w:t>
      </w:r>
    </w:p>
    <w:p>
      <w:r>
        <w:rPr/>
        <w:t>Поклажедатель передаёт хранителю имущество [перечень, количество, идентификаторы, состояние]. Приём оформляется актом и описью. Известные опасные свойства и специальные условия сообщаются письменно.</w:t>
      </w:r>
    </w:p>
    <w:p>
      <w:pPr>
        <w:pStyle w:val="Heading1"/>
        <w:keepNext/>
      </w:pPr>
      <w:r>
        <w:rPr/>
        <w:t>2. Условия хранения</w:t>
      </w:r>
    </w:p>
    <w:p>
      <w:r>
        <w:rPr/>
        <w:t>Место [адрес], срок [срок], температурный и иной режим [параметры]. Пользование и передача имущества третьим лицам допускаются только в установленном законом и договором порядке. Доступ поклажедателя [условия].</w:t>
      </w:r>
    </w:p>
    <w:p>
      <w:pPr>
        <w:pStyle w:val="Heading1"/>
        <w:keepNext/>
      </w:pPr>
      <w:r>
        <w:rPr/>
        <w:t>3. Вознаграждение</w:t>
      </w:r>
    </w:p>
    <w:p>
      <w:r>
        <w:rPr/>
        <w:t>Хранение [возмездное / безвозмездное]. При возмездном хранении плата [сумма, период], НДС [условие], расходы [состав].</w:t>
      </w:r>
    </w:p>
    <w:p>
      <w:pPr>
        <w:pStyle w:val="Heading1"/>
        <w:keepNext/>
      </w:pPr>
      <w:r>
        <w:rPr/>
        <w:t>4. Возврат</w:t>
      </w:r>
    </w:p>
    <w:p>
      <w:r>
        <w:rPr/>
        <w:t>Возврат осуществляется уполномоченному лицу по акту с проверкой количества и состояния. Порядок уведомления о получении имущества и действия при задержке определяются [условия, не противоречащие закону].</w:t>
      </w:r>
    </w:p>
    <w:p>
      <w:pPr>
        <w:pStyle w:val="Heading1"/>
        <w:keepNext/>
      </w:pPr>
      <w:r>
        <w:rPr/>
        <w:t>5. Ответственность</w:t>
      </w:r>
    </w:p>
    <w:p>
      <w:r>
        <w:rPr/>
        <w:t>Хранитель обеспечивает сохранность и уведомляет об обстоятельствах, угрожающих имуществу. Утрата, недостача или повреждение фиксируются актом. Основания и размер ответственности определяются законом с учётом статуса хранителя и характера хранения.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Передача имущества на хранение с описью и условиями доступа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Для профессионального склада, ценных вещей и опасных предметов нужны специальные условия и нормы.</w:t>
      </w:r>
    </w:p>
    <w:p>
      <w:r>
        <w:rPr/>
        <w:t>4. Заполните реквизиты сторон, проверьте полномочия подписантов и согласуйте все приложения до подписания.</w:t>
      </w:r>
    </w:p>
    <w:p>
      <w:r>
        <w:rPr/>
        <w:t>5.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886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afbf7746a8ab4a8753f6eeeca8749b7412f21e2a/" TargetMode="External"/><Relationship Id="rId10" Type="http://schemas.openxmlformats.org/officeDocument/2006/relationships/hyperlink" Target="https://via-jure.ru/document-contract-storag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имущества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