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займа между гражданами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Сумма и передача</w:t>
      </w:r>
    </w:p>
    <w:p>
      <w:r>
        <w:rPr/>
        <w:t>Займодавец передаёт заёмщику [сумма цифрами и прописью] рублей. Передача [дата, банковский перевод / расписка]. Фактическая передача подтверждается отдельным документом; подпись под договором сама по себе не заменяет подтверждение, если деньги ещё не переданы.</w:t>
      </w:r>
    </w:p>
    <w:p>
      <w:pPr>
        <w:pStyle w:val="Heading1"/>
        <w:keepNext/>
      </w:pPr>
      <w:r>
        <w:rPr/>
        <w:t>2. Проценты</w:t>
      </w:r>
    </w:p>
    <w:p>
      <w:r>
        <w:rPr/>
        <w:t>Заём [беспроцентный / процентный по ставке ___ годовых — выбрать]. Период начисления и сроки уплаты процентов: [условия]. Порядок расчёта и округления согласован в приложении.</w:t>
      </w:r>
    </w:p>
    <w:p>
      <w:pPr>
        <w:pStyle w:val="Heading1"/>
        <w:keepNext/>
      </w:pPr>
      <w:r>
        <w:rPr/>
        <w:t>3. Возврат</w:t>
      </w:r>
    </w:p>
    <w:p>
      <w:r>
        <w:rPr/>
        <w:t>Заём возвращается [одним платежом до даты / по графику]. Реквизиты [данные]. Порядок досрочного возврата определяется законом и согласованными условиями [условия]. Каждая оплата подтверждается банковским документом либо распиской займодавца.</w:t>
      </w:r>
    </w:p>
    <w:p>
      <w:pPr>
        <w:pStyle w:val="Heading1"/>
        <w:keepNext/>
      </w:pPr>
      <w:r>
        <w:rPr/>
        <w:t>4. Просрочка</w:t>
      </w:r>
    </w:p>
    <w:p>
      <w:r>
        <w:rPr/>
        <w:t>Последствия просрочки определяются статьёй 811 ГК РФ и согласованной неустойкой, если она предусмотрена: [условие]. Начисления не должны дублироваться без правового основания.</w:t>
      </w:r>
    </w:p>
    <w:p>
      <w:pPr>
        <w:pStyle w:val="Heading1"/>
        <w:keepNext/>
      </w:pPr>
      <w:r>
        <w:rPr/>
        <w:t>5. Обмен сообщениями</w:t>
      </w:r>
    </w:p>
    <w:p>
      <w:r>
        <w:rPr/>
        <w:t>Адреса для требований [данные]. Изменение реквизитов доводится до другой стороны подтверждаемым способом. Споры рассматриваются компетентным судом. Оригиналы расписок и документов о возврате сохраняются сторонами.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Письменные условия передачи и возврата денег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Выберите процентный или беспроцентный режим прямо.</w:t>
      </w:r>
    </w:p>
    <w:p>
      <w:r>
        <w:rPr/>
        <w:t>4. Не включайте в договор утверждение «деньги получены», если передача ещё не произошла.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807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808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809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810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811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de1a56b9fd08842b5355739ce8b3618593c5f83/" TargetMode="External"/><Relationship Id="rId10" Type="http://schemas.openxmlformats.org/officeDocument/2006/relationships/hyperlink" Target="https://www.consultant.ru/document/cons_doc_LAW_9027/fa5f5f970fda7176d9f2a2ead822aaac53cc7eda/" TargetMode="External"/><Relationship Id="rId11" Type="http://schemas.openxmlformats.org/officeDocument/2006/relationships/hyperlink" Target="https://www.consultant.ru/document/cons_doc_LAW_9027/7b06de7880faf3a98680ca4393ff88109c1cd062/" TargetMode="External"/><Relationship Id="rId12" Type="http://schemas.openxmlformats.org/officeDocument/2006/relationships/hyperlink" Target="https://www.consultant.ru/document/cons_doc_LAW_9027/e8097b733127c868178d79194a0ad6fe8c3e6399/" TargetMode="External"/><Relationship Id="rId13" Type="http://schemas.openxmlformats.org/officeDocument/2006/relationships/hyperlink" Target="https://www.consultant.ru/document/cons_doc_LAW_9027/f59d9a9d380b5630c13c215194374faf26fa18a0/" TargetMode="External"/><Relationship Id="rId14" Type="http://schemas.openxmlformats.org/officeDocument/2006/relationships/hyperlink" Target="https://via-jure.ru/document-contract-loan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гражданами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