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услуг по ведению бухгалтерского учёта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договора</w:t>
      </w:r>
    </w:p>
    <w:p>
      <w:r>
        <w:rPr/>
        <w:t>Исполнитель оказывает услуги по [участки учёта, система налогообложения, перечень отчётов] за период [период]. Точный календарь и распределение обязанностей определены приложением 1. Налоговое представительство и подписание отчётности допускаются только при наличии необходимых полномочий.</w:t>
      </w:r>
    </w:p>
    <w:p>
      <w:pPr>
        <w:pStyle w:val="Heading1"/>
        <w:keepNext/>
      </w:pPr>
      <w:r>
        <w:rPr/>
        <w:t>2. Порядок оказания услуг</w:t>
      </w:r>
    </w:p>
    <w:p>
      <w:r>
        <w:rPr/>
        <w:t>Заказчик передаёт первичные документы до [дата каждого периода]. Исполнитель проверяет комплектность и сообщает о выявленных противоречиях в течение [срок]. Передача электронной подписи и паролей не предполагается: доступ и полномочия оформляются законным способом. При прекращении договора передаются базы, регистры и список незавершённых операций.</w:t>
      </w:r>
    </w:p>
    <w:p>
      <w:pPr>
        <w:pStyle w:val="Heading1"/>
        <w:keepNext/>
      </w:pPr>
      <w:r>
        <w:rPr/>
        <w:t>3. Цена и расчёты</w:t>
      </w:r>
    </w:p>
    <w:p>
      <w:r>
        <w:rPr/>
        <w:t>Стоимость услуг составляет [сумма] рублей. НДС: [правомерный режим и ставка / основание отсутствия НДС]. Оплата: [аванс, периодические платежи, окончательный расчёт с точными сроками]. Дополнительные услуги выполняются после письменного согласования объёма, цены и срока.</w:t>
      </w:r>
    </w:p>
    <w:p>
      <w:pPr>
        <w:pStyle w:val="Heading1"/>
        <w:keepNext/>
      </w:pPr>
      <w:r>
        <w:rPr/>
        <w:t>4. Подтверждение оказанных услуг</w:t>
      </w:r>
    </w:p>
    <w:p>
      <w:r>
        <w:rPr/>
        <w:t>Исполнитель передаёт отчёт и акт за [период] через [согласованный канал]. Заказчик в течение [срок] подписывает акт либо направляет конкретные замечания с указанием неоказанных или ненадлежащих услуг. Стороны фиксируют разногласия и срок их устранения. Факт услуг может подтверждаться отчётами, перепиской и иными допустимыми доказательствами.</w:t>
      </w:r>
    </w:p>
    <w:p>
      <w:pPr>
        <w:pStyle w:val="Heading1"/>
        <w:keepNext/>
      </w:pPr>
      <w:r>
        <w:rPr/>
        <w:t>5. Ответственность и прекращение</w:t>
      </w:r>
    </w:p>
    <w:p>
      <w:r>
        <w:rPr/>
        <w:t>Стороны отвечают за нарушение обязательств в соответствии с законом и договором. При отказе заказчика оплачиваются фактически понесённые исполнителем расходы в соответствии со статьёй 782 ГК РФ; отказ исполнителя допускается при полном возмещении заказчику убытков. Для предпринимательских отношений специальные согласованные условия отказа требуют отдельной правовой проверки.</w:t>
      </w:r>
    </w:p>
    <w:p>
      <w:pPr>
        <w:pStyle w:val="Heading1"/>
        <w:keepNext/>
      </w:pPr>
      <w:r>
        <w:rPr/>
        <w:t>6. Обмен документами и споры</w:t>
      </w:r>
    </w:p>
    <w:p>
      <w:r>
        <w:rPr/>
        <w:t>Юридически значимые сообщения направляются по адресам и каналам из раздела реквизитов; принадлежность отправителя должна быть подтверждаема. Сторона сообщает об изменении реквизитов в [срок]. Спор передаётся в компетентный суд с соблюдением обязательного досудебного порядка. Конфиденциальные сведения используются только для исполнения договора.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Состав учётных операций, календарь отчётности и порядок передачи первичных документов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Отдельно согласуйте обработку персональных данных работников, доступ к системам и обязанности по хранению документов.</w:t>
      </w:r>
    </w:p>
    <w:p>
      <w:r>
        <w:rPr/>
        <w:t>4. Модель предназначена для обычных договорных отношений; при заказе гражданином для личных нужд дополнительно применяются обязательные гарантии потребителя.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782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 w:line="240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397ec4ca2dd0c96c211ee4e4436628f0cf581a3/" TargetMode="External"/><Relationship Id="rId10" Type="http://schemas.openxmlformats.org/officeDocument/2006/relationships/hyperlink" Target="https://www.consultant.ru/document/cons_doc_LAW_9027/2db588b17543c1f6e0ce72c2f3d04f219c0503a7/" TargetMode="External"/><Relationship Id="rId11" Type="http://schemas.openxmlformats.org/officeDocument/2006/relationships/hyperlink" Target="https://www.consultant.ru/document/cons_doc_LAW_9027/e21d6a868cf614117afa2f93877215e487cd4aee/" TargetMode="External"/><Relationship Id="rId12" Type="http://schemas.openxmlformats.org/officeDocument/2006/relationships/hyperlink" Target="https://via-jure.ru/document-contract-bookkeeping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услуг по ведению бухгалтерского учёта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