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Мировое соглашение и заявление об утверждении</w:t>
      </w:r>
    </w:p>
    <w:p>
      <w:pPr>
        <w:pStyle w:val="Heading1"/>
        <w:keepNext/>
      </w:pPr>
      <w:r>
        <w:rPr/>
        <w:t>1. Участники и предмет</w:t>
      </w:r>
    </w:p>
    <w:p>
      <w:r>
        <w:rPr/>
        <w:t>Истец [данные] и ответчик [данные] по делу № [номер] заключили соглашение для урегулирования требований о [предмет]. Подписанты действуют на основании [документы со специальными полномочиями].</w:t>
      </w:r>
    </w:p>
    <w:p>
      <w:pPr>
        <w:pStyle w:val="Heading1"/>
        <w:keepNext/>
      </w:pPr>
      <w:r>
        <w:rPr/>
        <w:t>2. Исполнение обязательств</w:t>
      </w:r>
    </w:p>
    <w:p>
      <w:r>
        <w:rPr/>
        <w:t>Ответчик перечисляет истцу [сумма] по реквизитам [реквизиты] в следующие сроки: [даты и суммы]. Обязательство считается исполненным [проверяемый момент]. Иные согласованные действия: [содержание, исполнитель, срок].</w:t>
      </w:r>
    </w:p>
    <w:p>
      <w:pPr>
        <w:pStyle w:val="Heading1"/>
        <w:keepNext/>
      </w:pPr>
      <w:r>
        <w:rPr/>
        <w:t>3. Расходы и последствия</w:t>
      </w:r>
    </w:p>
    <w:p>
      <w:r>
        <w:rPr/>
        <w:t>Судебные расходы распределяются: [конкретно]. Вопрос о возврате госпошлины разрешается по закону. После исполнения соглашения обязательства по спорным требованиям считаются урегулированными в объёме [объём]. Сторонам понятны последствия прекращения производства и возможность принудительного исполнения утверждённого соглашения.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138, 139, 140, 141 АПК РФ.</w:t>
      </w:r>
    </w:p>
    <w:p>
      <w:pPr>
        <w:pStyle w:val="Heading1"/>
        <w:keepNext/>
      </w:pPr>
      <w:r>
        <w:rPr/>
        <w:t>ПРОСИМ:</w:t>
      </w:r>
    </w:p>
    <w:p>
      <w:r>
        <w:rPr/>
        <w:t>1. Утвердить мировое соглашение в изложенной редакции.</w:t>
      </w:r>
    </w:p>
    <w:p>
      <w:r>
        <w:rPr/>
        <w:t>2. Прекратить производство по делу в урегулированной части.</w:t>
      </w:r>
    </w:p>
    <w:p>
      <w:r>
        <w:rPr/>
        <w:t>3. Разрешить вопрос о судебных расходах и возврате госпошлины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специальных полномочиях подписантов — [количество] л.</w:t>
      </w:r>
    </w:p>
    <w:p>
      <w:r>
        <w:rPr/>
        <w:t>2. Расчёт и подтверждение оплаты госпошлины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Стороны согласовали завершение спора и конкретный порядок исполнения.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Заполните все суммы, даты и реквизиты: неопределённые условия затрудняют исполнение.</w:t>
      </w:r>
    </w:p>
    <w:p>
      <w:r>
        <w:rPr/>
        <w:t>4. Проверьте права третьих лиц, корпоративные согласования и специальные полномочия. После утверждения повторный тождественный иск недопустим.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138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139 АПК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140 АПК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141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140b6b2114cc66e402489dfc89c5c30a51e43189/" TargetMode="External"/><Relationship Id="rId10" Type="http://schemas.openxmlformats.org/officeDocument/2006/relationships/hyperlink" Target="https://www.consultant.ru/document/cons_doc_LAW_37800/e72713a5cd7f80746dab4d6f476bb8811378864d/" TargetMode="External"/><Relationship Id="rId11" Type="http://schemas.openxmlformats.org/officeDocument/2006/relationships/hyperlink" Target="https://www.consultant.ru/document/cons_doc_LAW_37800/514bc1d314db69ccbf41a9d08bd44a34b50bcd06/" TargetMode="External"/><Relationship Id="rId12" Type="http://schemas.openxmlformats.org/officeDocument/2006/relationships/hyperlink" Target="https://www.consultant.ru/document/cons_doc_LAW_37800/873dcbfcbb171c879e002840ab17b1b2c8f9b053/" TargetMode="External"/><Relationship Id="rId13" Type="http://schemas.openxmlformats.org/officeDocument/2006/relationships/hyperlink" Target="https://via-jure.ru/document-apk-settlement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и заявление об утверждении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